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5"/>
        <w:gridCol w:w="2515"/>
        <w:gridCol w:w="4148"/>
        <w:gridCol w:w="2790"/>
        <w:gridCol w:w="2718"/>
      </w:tblGrid>
      <w:tr w:rsidR="00E936F6" w:rsidTr="005268BC">
        <w:tc>
          <w:tcPr>
            <w:tcW w:w="1005" w:type="dxa"/>
          </w:tcPr>
          <w:p w:rsidR="00E936F6" w:rsidRPr="00E936F6" w:rsidRDefault="00E936F6" w:rsidP="00E936F6">
            <w:pPr>
              <w:jc w:val="center"/>
              <w:rPr>
                <w:rFonts w:ascii="Garamond" w:hAnsi="Garamond"/>
                <w:b/>
              </w:rPr>
            </w:pPr>
            <w:r w:rsidRPr="00E936F6">
              <w:rPr>
                <w:rFonts w:ascii="Garamond" w:hAnsi="Garamond"/>
                <w:b/>
              </w:rPr>
              <w:t>Picture #</w:t>
            </w:r>
          </w:p>
        </w:tc>
        <w:tc>
          <w:tcPr>
            <w:tcW w:w="2515" w:type="dxa"/>
          </w:tcPr>
          <w:p w:rsidR="00E936F6" w:rsidRPr="00E936F6" w:rsidRDefault="00E936F6" w:rsidP="00A174B0">
            <w:pPr>
              <w:jc w:val="center"/>
              <w:rPr>
                <w:rFonts w:ascii="Garamond" w:hAnsi="Garamond"/>
                <w:b/>
              </w:rPr>
            </w:pPr>
            <w:r w:rsidRPr="00E936F6">
              <w:rPr>
                <w:rFonts w:ascii="Garamond" w:hAnsi="Garamond"/>
                <w:b/>
              </w:rPr>
              <w:t xml:space="preserve">Is the </w:t>
            </w:r>
            <w:r w:rsidR="00A174B0">
              <w:rPr>
                <w:rFonts w:ascii="Garamond" w:hAnsi="Garamond"/>
                <w:b/>
              </w:rPr>
              <w:t>Painting</w:t>
            </w:r>
            <w:r w:rsidRPr="00E936F6">
              <w:rPr>
                <w:rFonts w:ascii="Garamond" w:hAnsi="Garamond"/>
                <w:b/>
              </w:rPr>
              <w:t xml:space="preserve"> Reflecting Political/Social/Military</w:t>
            </w:r>
          </w:p>
        </w:tc>
        <w:tc>
          <w:tcPr>
            <w:tcW w:w="4148" w:type="dxa"/>
          </w:tcPr>
          <w:p w:rsidR="00E936F6" w:rsidRPr="00E936F6" w:rsidRDefault="00E936F6" w:rsidP="00E936F6">
            <w:pPr>
              <w:jc w:val="center"/>
              <w:rPr>
                <w:rFonts w:ascii="Garamond" w:hAnsi="Garamond"/>
                <w:b/>
              </w:rPr>
            </w:pPr>
            <w:r w:rsidRPr="00E936F6">
              <w:rPr>
                <w:rFonts w:ascii="Garamond" w:hAnsi="Garamond"/>
                <w:b/>
              </w:rPr>
              <w:t>Brief Description of Painting</w:t>
            </w:r>
          </w:p>
        </w:tc>
        <w:tc>
          <w:tcPr>
            <w:tcW w:w="2790" w:type="dxa"/>
          </w:tcPr>
          <w:p w:rsidR="00E936F6" w:rsidRPr="00E936F6" w:rsidRDefault="00E936F6" w:rsidP="00E936F6">
            <w:pPr>
              <w:jc w:val="center"/>
              <w:rPr>
                <w:rFonts w:ascii="Garamond" w:hAnsi="Garamond"/>
                <w:b/>
              </w:rPr>
            </w:pPr>
            <w:r w:rsidRPr="00E936F6">
              <w:rPr>
                <w:rFonts w:ascii="Garamond" w:hAnsi="Garamond"/>
                <w:b/>
              </w:rPr>
              <w:t>Is</w:t>
            </w:r>
            <w:r w:rsidR="005268BC">
              <w:rPr>
                <w:rFonts w:ascii="Garamond" w:hAnsi="Garamond"/>
                <w:b/>
              </w:rPr>
              <w:t xml:space="preserve"> the Painting Showing Victory,</w:t>
            </w:r>
            <w:r w:rsidRPr="00E936F6">
              <w:rPr>
                <w:rFonts w:ascii="Garamond" w:hAnsi="Garamond"/>
                <w:b/>
              </w:rPr>
              <w:t xml:space="preserve"> Defeat</w:t>
            </w:r>
            <w:r w:rsidR="005268BC">
              <w:rPr>
                <w:rFonts w:ascii="Garamond" w:hAnsi="Garamond"/>
                <w:b/>
              </w:rPr>
              <w:t>, or Neither</w:t>
            </w:r>
            <w:r w:rsidRPr="00E936F6">
              <w:rPr>
                <w:rFonts w:ascii="Garamond" w:hAnsi="Garamond"/>
                <w:b/>
              </w:rPr>
              <w:t>?</w:t>
            </w:r>
          </w:p>
        </w:tc>
        <w:tc>
          <w:tcPr>
            <w:tcW w:w="2718" w:type="dxa"/>
          </w:tcPr>
          <w:p w:rsidR="00E936F6" w:rsidRPr="00E936F6" w:rsidRDefault="00E936F6" w:rsidP="00E936F6">
            <w:pPr>
              <w:jc w:val="center"/>
              <w:rPr>
                <w:rFonts w:ascii="Garamond" w:hAnsi="Garamond"/>
                <w:b/>
              </w:rPr>
            </w:pPr>
            <w:r w:rsidRPr="00E936F6">
              <w:rPr>
                <w:rFonts w:ascii="Garamond" w:hAnsi="Garamond"/>
                <w:b/>
              </w:rPr>
              <w:t>What Time Period is the Painting Reflecting?</w:t>
            </w:r>
          </w:p>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E936F6" w:rsidTr="005268BC">
        <w:tc>
          <w:tcPr>
            <w:tcW w:w="1005" w:type="dxa"/>
          </w:tcPr>
          <w:p w:rsidR="00E936F6" w:rsidRDefault="00E936F6"/>
        </w:tc>
        <w:tc>
          <w:tcPr>
            <w:tcW w:w="2515" w:type="dxa"/>
          </w:tcPr>
          <w:p w:rsidR="00E936F6" w:rsidRDefault="00E936F6"/>
        </w:tc>
        <w:tc>
          <w:tcPr>
            <w:tcW w:w="4148" w:type="dxa"/>
          </w:tcPr>
          <w:p w:rsidR="00E936F6" w:rsidRDefault="00E936F6"/>
          <w:p w:rsidR="00E936F6" w:rsidRDefault="00E936F6"/>
          <w:p w:rsidR="00E936F6" w:rsidRDefault="00E936F6"/>
        </w:tc>
        <w:tc>
          <w:tcPr>
            <w:tcW w:w="2790" w:type="dxa"/>
          </w:tcPr>
          <w:p w:rsidR="00E936F6" w:rsidRDefault="00E936F6"/>
        </w:tc>
        <w:tc>
          <w:tcPr>
            <w:tcW w:w="2718" w:type="dxa"/>
          </w:tcPr>
          <w:p w:rsidR="00E936F6" w:rsidRDefault="00E936F6"/>
        </w:tc>
      </w:tr>
      <w:tr w:rsidR="005268BC" w:rsidTr="005268BC">
        <w:tc>
          <w:tcPr>
            <w:tcW w:w="1005" w:type="dxa"/>
          </w:tcPr>
          <w:p w:rsidR="00E936F6" w:rsidRDefault="00E936F6" w:rsidP="003B3709"/>
        </w:tc>
        <w:tc>
          <w:tcPr>
            <w:tcW w:w="2515" w:type="dxa"/>
          </w:tcPr>
          <w:p w:rsidR="00E936F6" w:rsidRDefault="00E936F6" w:rsidP="003B3709"/>
        </w:tc>
        <w:tc>
          <w:tcPr>
            <w:tcW w:w="4148" w:type="dxa"/>
          </w:tcPr>
          <w:p w:rsidR="00E936F6" w:rsidRDefault="00E936F6" w:rsidP="003B3709"/>
          <w:p w:rsidR="00E936F6" w:rsidRDefault="00E936F6" w:rsidP="003B3709"/>
          <w:p w:rsidR="00E936F6" w:rsidRDefault="00E936F6" w:rsidP="003B3709"/>
        </w:tc>
        <w:tc>
          <w:tcPr>
            <w:tcW w:w="2790" w:type="dxa"/>
          </w:tcPr>
          <w:p w:rsidR="00E936F6" w:rsidRDefault="00E936F6" w:rsidP="003B3709"/>
        </w:tc>
        <w:tc>
          <w:tcPr>
            <w:tcW w:w="2718" w:type="dxa"/>
          </w:tcPr>
          <w:p w:rsidR="00E936F6" w:rsidRDefault="00E936F6" w:rsidP="003B3709"/>
        </w:tc>
      </w:tr>
      <w:tr w:rsidR="005268BC" w:rsidTr="005268BC">
        <w:tc>
          <w:tcPr>
            <w:tcW w:w="1005" w:type="dxa"/>
          </w:tcPr>
          <w:p w:rsidR="00E936F6" w:rsidRDefault="00E936F6" w:rsidP="003B3709"/>
        </w:tc>
        <w:tc>
          <w:tcPr>
            <w:tcW w:w="2515" w:type="dxa"/>
          </w:tcPr>
          <w:p w:rsidR="00E936F6" w:rsidRDefault="00E936F6" w:rsidP="003B3709"/>
        </w:tc>
        <w:tc>
          <w:tcPr>
            <w:tcW w:w="4148" w:type="dxa"/>
          </w:tcPr>
          <w:p w:rsidR="00E936F6" w:rsidRDefault="00E936F6" w:rsidP="003B3709"/>
          <w:p w:rsidR="00E936F6" w:rsidRDefault="00E936F6" w:rsidP="003B3709"/>
          <w:p w:rsidR="00E936F6" w:rsidRDefault="00E936F6" w:rsidP="003B3709"/>
        </w:tc>
        <w:tc>
          <w:tcPr>
            <w:tcW w:w="2790" w:type="dxa"/>
          </w:tcPr>
          <w:p w:rsidR="00E936F6" w:rsidRDefault="00E936F6" w:rsidP="003B3709"/>
        </w:tc>
        <w:tc>
          <w:tcPr>
            <w:tcW w:w="2718" w:type="dxa"/>
          </w:tcPr>
          <w:p w:rsidR="00E936F6" w:rsidRDefault="00E936F6" w:rsidP="003B3709"/>
        </w:tc>
      </w:tr>
    </w:tbl>
    <w:p w:rsidR="00E936F6" w:rsidRDefault="00E936F6"/>
    <w:p w:rsidR="00E936F6" w:rsidRDefault="00E936F6">
      <w:r>
        <w:br w:type="page"/>
      </w:r>
    </w:p>
    <w:p w:rsidR="00B93346" w:rsidRDefault="00E936F6" w:rsidP="00E936F6">
      <w:pPr>
        <w:pStyle w:val="ListParagraph"/>
        <w:numPr>
          <w:ilvl w:val="0"/>
          <w:numId w:val="2"/>
        </w:numPr>
        <w:rPr>
          <w:rFonts w:ascii="Garamond" w:hAnsi="Garamond"/>
        </w:rPr>
      </w:pPr>
      <w:r>
        <w:rPr>
          <w:rFonts w:ascii="Garamond" w:hAnsi="Garamond"/>
        </w:rPr>
        <w:lastRenderedPageBreak/>
        <w:t xml:space="preserve"> What aspects of Napoleon’s reign as Emperor are missing from the gallery of </w:t>
      </w:r>
      <w:r w:rsidR="00A174B0">
        <w:rPr>
          <w:rFonts w:ascii="Garamond" w:hAnsi="Garamond"/>
        </w:rPr>
        <w:t>paintings</w:t>
      </w:r>
      <w:r>
        <w:rPr>
          <w:rFonts w:ascii="Garamond" w:hAnsi="Garamond"/>
        </w:rPr>
        <w:t>?  Why do you think these paintings are missing?</w:t>
      </w:r>
    </w:p>
    <w:p w:rsidR="00E936F6" w:rsidRDefault="00E936F6" w:rsidP="00E936F6">
      <w:pPr>
        <w:rPr>
          <w:rFonts w:ascii="Garamond" w:hAnsi="Garamond"/>
        </w:rPr>
      </w:pPr>
    </w:p>
    <w:p w:rsidR="00E936F6" w:rsidRDefault="00E936F6" w:rsidP="00E936F6">
      <w:pPr>
        <w:pStyle w:val="ListParagraph"/>
        <w:numPr>
          <w:ilvl w:val="0"/>
          <w:numId w:val="2"/>
        </w:numPr>
        <w:rPr>
          <w:rFonts w:ascii="Garamond" w:hAnsi="Garamond"/>
        </w:rPr>
      </w:pPr>
      <w:r>
        <w:rPr>
          <w:rFonts w:ascii="Garamond" w:hAnsi="Garamond"/>
        </w:rPr>
        <w:t xml:space="preserve"> What can you infer about Napoleon’s personality from the </w:t>
      </w:r>
      <w:r w:rsidR="00A174B0">
        <w:rPr>
          <w:rFonts w:ascii="Garamond" w:hAnsi="Garamond"/>
        </w:rPr>
        <w:t>paintings</w:t>
      </w:r>
      <w:bookmarkStart w:id="0" w:name="_GoBack"/>
      <w:bookmarkEnd w:id="0"/>
      <w:r>
        <w:rPr>
          <w:rFonts w:ascii="Garamond" w:hAnsi="Garamond"/>
        </w:rPr>
        <w:t>?</w:t>
      </w:r>
    </w:p>
    <w:p w:rsidR="00926462" w:rsidRDefault="00926462" w:rsidP="00926462">
      <w:pPr>
        <w:jc w:val="center"/>
        <w:rPr>
          <w:rFonts w:ascii="Garamond" w:hAnsi="Garamond"/>
          <w:b/>
          <w:sz w:val="24"/>
        </w:rPr>
      </w:pPr>
    </w:p>
    <w:p w:rsidR="00E936F6" w:rsidRPr="00926462" w:rsidRDefault="00926462" w:rsidP="00926462">
      <w:pPr>
        <w:jc w:val="center"/>
        <w:rPr>
          <w:rFonts w:ascii="Garamond" w:hAnsi="Garamond"/>
          <w:b/>
          <w:sz w:val="24"/>
        </w:rPr>
      </w:pPr>
      <w:r w:rsidRPr="00926462">
        <w:rPr>
          <w:rFonts w:ascii="Garamond" w:hAnsi="Garamond"/>
          <w:b/>
          <w:sz w:val="24"/>
        </w:rPr>
        <w:t>Napoleon’s Government Reformation in France</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2"/>
        <w:gridCol w:w="2981"/>
        <w:gridCol w:w="3647"/>
        <w:gridCol w:w="3749"/>
      </w:tblGrid>
      <w:tr w:rsidR="00926462" w:rsidRPr="00926462" w:rsidTr="00926462">
        <w:trPr>
          <w:trHeight w:val="434"/>
        </w:trPr>
        <w:tc>
          <w:tcPr>
            <w:tcW w:w="1882" w:type="dxa"/>
            <w:shd w:val="clear" w:color="auto" w:fill="auto"/>
          </w:tcPr>
          <w:p w:rsidR="00926462" w:rsidRPr="00926462" w:rsidRDefault="00926462" w:rsidP="00926462">
            <w:pPr>
              <w:pStyle w:val="ListParagraph"/>
              <w:spacing w:line="240" w:lineRule="auto"/>
              <w:ind w:left="1080"/>
              <w:rPr>
                <w:rFonts w:ascii="Garamond" w:hAnsi="Garamond"/>
                <w:sz w:val="20"/>
                <w:szCs w:val="20"/>
              </w:rPr>
            </w:pPr>
          </w:p>
        </w:tc>
        <w:tc>
          <w:tcPr>
            <w:tcW w:w="2981" w:type="dxa"/>
            <w:shd w:val="clear" w:color="auto" w:fill="auto"/>
          </w:tcPr>
          <w:p w:rsidR="00926462" w:rsidRPr="00926462" w:rsidRDefault="00926462" w:rsidP="00926462">
            <w:pPr>
              <w:pStyle w:val="ListParagraph"/>
              <w:spacing w:line="240" w:lineRule="auto"/>
              <w:ind w:left="1080"/>
              <w:rPr>
                <w:rFonts w:ascii="Garamond" w:hAnsi="Garamond"/>
                <w:b/>
                <w:sz w:val="20"/>
                <w:szCs w:val="20"/>
              </w:rPr>
            </w:pPr>
            <w:r w:rsidRPr="00926462">
              <w:rPr>
                <w:rFonts w:ascii="Garamond" w:hAnsi="Garamond"/>
                <w:b/>
                <w:sz w:val="20"/>
                <w:szCs w:val="20"/>
              </w:rPr>
              <w:t>The Economy</w:t>
            </w:r>
          </w:p>
        </w:tc>
        <w:tc>
          <w:tcPr>
            <w:tcW w:w="3647" w:type="dxa"/>
            <w:shd w:val="clear" w:color="auto" w:fill="auto"/>
          </w:tcPr>
          <w:p w:rsidR="00926462" w:rsidRPr="00926462" w:rsidRDefault="00926462" w:rsidP="00926462">
            <w:pPr>
              <w:pStyle w:val="ListParagraph"/>
              <w:spacing w:line="240" w:lineRule="auto"/>
              <w:ind w:left="1080"/>
              <w:rPr>
                <w:rFonts w:ascii="Garamond" w:hAnsi="Garamond"/>
                <w:b/>
                <w:sz w:val="20"/>
                <w:szCs w:val="20"/>
              </w:rPr>
            </w:pPr>
            <w:r w:rsidRPr="00926462">
              <w:rPr>
                <w:rFonts w:ascii="Garamond" w:hAnsi="Garamond"/>
                <w:b/>
                <w:sz w:val="20"/>
                <w:szCs w:val="20"/>
              </w:rPr>
              <w:t>Government &amp; Society</w:t>
            </w:r>
          </w:p>
        </w:tc>
        <w:tc>
          <w:tcPr>
            <w:tcW w:w="3749" w:type="dxa"/>
            <w:shd w:val="clear" w:color="auto" w:fill="auto"/>
          </w:tcPr>
          <w:p w:rsidR="00926462" w:rsidRPr="00926462" w:rsidRDefault="00926462" w:rsidP="00926462">
            <w:pPr>
              <w:pStyle w:val="ListParagraph"/>
              <w:spacing w:line="240" w:lineRule="auto"/>
              <w:ind w:left="1080"/>
              <w:rPr>
                <w:rFonts w:ascii="Garamond" w:hAnsi="Garamond"/>
                <w:b/>
                <w:sz w:val="20"/>
                <w:szCs w:val="20"/>
              </w:rPr>
            </w:pPr>
            <w:r w:rsidRPr="00926462">
              <w:rPr>
                <w:rFonts w:ascii="Garamond" w:hAnsi="Garamond"/>
                <w:b/>
                <w:sz w:val="20"/>
                <w:szCs w:val="20"/>
              </w:rPr>
              <w:t>Religion</w:t>
            </w:r>
          </w:p>
        </w:tc>
      </w:tr>
      <w:tr w:rsidR="00926462" w:rsidRPr="00926462" w:rsidTr="00926462">
        <w:trPr>
          <w:trHeight w:val="783"/>
        </w:trPr>
        <w:tc>
          <w:tcPr>
            <w:tcW w:w="1882" w:type="dxa"/>
            <w:shd w:val="clear" w:color="auto" w:fill="auto"/>
          </w:tcPr>
          <w:p w:rsidR="00926462" w:rsidRPr="00926462" w:rsidRDefault="00926462" w:rsidP="00926462">
            <w:pPr>
              <w:spacing w:line="240" w:lineRule="auto"/>
              <w:jc w:val="both"/>
              <w:rPr>
                <w:rFonts w:ascii="Garamond" w:hAnsi="Garamond"/>
                <w:b/>
                <w:sz w:val="20"/>
                <w:szCs w:val="20"/>
              </w:rPr>
            </w:pPr>
            <w:r w:rsidRPr="00926462">
              <w:rPr>
                <w:rFonts w:ascii="Garamond" w:hAnsi="Garamond"/>
                <w:b/>
                <w:sz w:val="20"/>
                <w:szCs w:val="20"/>
              </w:rPr>
              <w:t>Goals of the Revolution</w:t>
            </w:r>
          </w:p>
        </w:tc>
        <w:tc>
          <w:tcPr>
            <w:tcW w:w="2981"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-Equal Taxations</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-Lower inflation</w:t>
            </w:r>
          </w:p>
        </w:tc>
        <w:tc>
          <w:tcPr>
            <w:tcW w:w="3647"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-Less government corruption</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-Equal opportunity in government</w:t>
            </w:r>
          </w:p>
        </w:tc>
        <w:tc>
          <w:tcPr>
            <w:tcW w:w="3749"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-Less powerful Catholic Church</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-Religious tolerance</w:t>
            </w:r>
          </w:p>
        </w:tc>
      </w:tr>
      <w:tr w:rsidR="00926462" w:rsidRPr="00926462" w:rsidTr="00926462">
        <w:trPr>
          <w:trHeight w:val="1959"/>
        </w:trPr>
        <w:tc>
          <w:tcPr>
            <w:tcW w:w="1882" w:type="dxa"/>
            <w:shd w:val="clear" w:color="auto" w:fill="auto"/>
          </w:tcPr>
          <w:p w:rsidR="00926462" w:rsidRPr="00926462" w:rsidRDefault="00926462" w:rsidP="00926462">
            <w:pPr>
              <w:spacing w:line="240" w:lineRule="auto"/>
              <w:jc w:val="both"/>
              <w:rPr>
                <w:rFonts w:ascii="Garamond" w:hAnsi="Garamond"/>
                <w:b/>
                <w:sz w:val="20"/>
                <w:szCs w:val="20"/>
              </w:rPr>
            </w:pPr>
            <w:r w:rsidRPr="00926462">
              <w:rPr>
                <w:rFonts w:ascii="Garamond" w:hAnsi="Garamond"/>
                <w:b/>
                <w:sz w:val="20"/>
                <w:szCs w:val="20"/>
              </w:rPr>
              <w:t>Napoleon’s Actions</w:t>
            </w:r>
          </w:p>
        </w:tc>
        <w:tc>
          <w:tcPr>
            <w:tcW w:w="2981"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-Set up fairer tax code</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-Set up national bank</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-Stabilized currency</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-Gave state loans to businesses</w:t>
            </w:r>
          </w:p>
        </w:tc>
        <w:tc>
          <w:tcPr>
            <w:tcW w:w="3647"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-Appointed officials by merit</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-Fired corrupt officials</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 xml:space="preserve">-Created </w:t>
            </w:r>
            <w:proofErr w:type="spellStart"/>
            <w:r w:rsidRPr="00926462">
              <w:rPr>
                <w:rFonts w:ascii="Garamond" w:hAnsi="Garamond"/>
                <w:sz w:val="20"/>
                <w:szCs w:val="20"/>
              </w:rPr>
              <w:t>lycees</w:t>
            </w:r>
            <w:proofErr w:type="spellEnd"/>
            <w:r w:rsidRPr="00926462">
              <w:rPr>
                <w:rFonts w:ascii="Garamond" w:hAnsi="Garamond"/>
                <w:sz w:val="20"/>
                <w:szCs w:val="20"/>
              </w:rPr>
              <w:t xml:space="preserve"> (public school)</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-Created code of laws</w:t>
            </w:r>
          </w:p>
        </w:tc>
        <w:tc>
          <w:tcPr>
            <w:tcW w:w="3749"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-Recognized Catholicism as “faith of Frenchmen”</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-Signed concordat with pope</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-Retained seized church lands</w:t>
            </w:r>
          </w:p>
        </w:tc>
      </w:tr>
      <w:tr w:rsidR="00926462" w:rsidRPr="00926462" w:rsidTr="00926462">
        <w:trPr>
          <w:trHeight w:val="1388"/>
        </w:trPr>
        <w:tc>
          <w:tcPr>
            <w:tcW w:w="1882" w:type="dxa"/>
            <w:shd w:val="clear" w:color="auto" w:fill="auto"/>
          </w:tcPr>
          <w:p w:rsidR="00926462" w:rsidRPr="00926462" w:rsidRDefault="00926462" w:rsidP="00926462">
            <w:pPr>
              <w:spacing w:line="240" w:lineRule="auto"/>
              <w:jc w:val="both"/>
              <w:rPr>
                <w:rFonts w:ascii="Garamond" w:hAnsi="Garamond"/>
                <w:b/>
                <w:sz w:val="20"/>
                <w:szCs w:val="20"/>
              </w:rPr>
            </w:pPr>
            <w:r w:rsidRPr="00926462">
              <w:rPr>
                <w:rFonts w:ascii="Garamond" w:hAnsi="Garamond"/>
                <w:b/>
                <w:sz w:val="20"/>
                <w:szCs w:val="20"/>
              </w:rPr>
              <w:t>Results</w:t>
            </w:r>
          </w:p>
        </w:tc>
        <w:tc>
          <w:tcPr>
            <w:tcW w:w="2981"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-Equal taxation</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-Stable economy</w:t>
            </w:r>
          </w:p>
        </w:tc>
        <w:tc>
          <w:tcPr>
            <w:tcW w:w="3647"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-Honest, competent officials</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-Equal opportunity in government</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-Public education</w:t>
            </w:r>
          </w:p>
        </w:tc>
        <w:tc>
          <w:tcPr>
            <w:tcW w:w="3749" w:type="dxa"/>
            <w:shd w:val="clear" w:color="auto" w:fill="auto"/>
          </w:tcPr>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-Religious tolerance</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-Government control of church land</w:t>
            </w:r>
          </w:p>
          <w:p w:rsidR="00926462" w:rsidRPr="00926462" w:rsidRDefault="00926462" w:rsidP="00926462">
            <w:pPr>
              <w:spacing w:line="240" w:lineRule="auto"/>
              <w:jc w:val="both"/>
              <w:rPr>
                <w:rFonts w:ascii="Garamond" w:hAnsi="Garamond"/>
                <w:sz w:val="20"/>
                <w:szCs w:val="20"/>
              </w:rPr>
            </w:pPr>
            <w:r w:rsidRPr="00926462">
              <w:rPr>
                <w:rFonts w:ascii="Garamond" w:hAnsi="Garamond"/>
                <w:sz w:val="20"/>
                <w:szCs w:val="20"/>
              </w:rPr>
              <w:t xml:space="preserve">-Government recognition of church influence </w:t>
            </w:r>
          </w:p>
        </w:tc>
      </w:tr>
    </w:tbl>
    <w:p w:rsidR="00E936F6" w:rsidRDefault="00E936F6" w:rsidP="00E936F6">
      <w:pPr>
        <w:pStyle w:val="ListParagraph"/>
        <w:ind w:left="1080"/>
        <w:rPr>
          <w:rFonts w:ascii="Garamond" w:hAnsi="Garamond"/>
        </w:rPr>
      </w:pPr>
    </w:p>
    <w:p w:rsidR="00926462" w:rsidRPr="005268BC" w:rsidRDefault="00926462" w:rsidP="00926462">
      <w:pPr>
        <w:rPr>
          <w:rFonts w:ascii="Garamond" w:hAnsi="Garamond"/>
          <w:sz w:val="20"/>
        </w:rPr>
      </w:pPr>
      <w:r w:rsidRPr="005268BC">
        <w:rPr>
          <w:rFonts w:ascii="Garamond" w:hAnsi="Garamond"/>
          <w:sz w:val="20"/>
        </w:rPr>
        <w:t xml:space="preserve">Napoleon’s conquest of Europe spread government reforms based on Enlightenment ideas from France to the entire continent of Europe.  However, these changes came at the sacrifice, including paying taxes to France, being required to fight in the French </w:t>
      </w:r>
      <w:proofErr w:type="gramStart"/>
      <w:r w:rsidRPr="005268BC">
        <w:rPr>
          <w:rFonts w:ascii="Garamond" w:hAnsi="Garamond"/>
          <w:sz w:val="20"/>
        </w:rPr>
        <w:t>military,</w:t>
      </w:r>
      <w:proofErr w:type="gramEnd"/>
      <w:r w:rsidRPr="005268BC">
        <w:rPr>
          <w:rFonts w:ascii="Garamond" w:hAnsi="Garamond"/>
          <w:sz w:val="20"/>
        </w:rPr>
        <w:t xml:space="preserve"> and swearing loyalty to Napoleon and France.  This resulted in a growing sense of Nationalism across Europe that will result in revolutions for decades to come.  In your opinion, do you think Napoleon was a good or bad leader?  Explain.  Be ready to share your answer.  </w:t>
      </w:r>
    </w:p>
    <w:sectPr w:rsidR="00926462" w:rsidRPr="005268BC" w:rsidSect="00E936F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D4" w:rsidRDefault="003B6FD4" w:rsidP="00E936F6">
      <w:pPr>
        <w:spacing w:after="0" w:line="240" w:lineRule="auto"/>
      </w:pPr>
      <w:r>
        <w:separator/>
      </w:r>
    </w:p>
  </w:endnote>
  <w:endnote w:type="continuationSeparator" w:id="0">
    <w:p w:rsidR="003B6FD4" w:rsidRDefault="003B6FD4" w:rsidP="00E9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D4" w:rsidRDefault="003B6FD4" w:rsidP="00E936F6">
      <w:pPr>
        <w:spacing w:after="0" w:line="240" w:lineRule="auto"/>
      </w:pPr>
      <w:r>
        <w:separator/>
      </w:r>
    </w:p>
  </w:footnote>
  <w:footnote w:type="continuationSeparator" w:id="0">
    <w:p w:rsidR="003B6FD4" w:rsidRDefault="003B6FD4" w:rsidP="00E9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F6" w:rsidRDefault="00E936F6">
    <w:pPr>
      <w:pStyle w:val="Header"/>
    </w:pPr>
    <w:r>
      <w:t>Name ________________________________________ Class Period ________________________________</w:t>
    </w:r>
  </w:p>
  <w:p w:rsidR="00E936F6" w:rsidRDefault="00E936F6">
    <w:pPr>
      <w:pStyle w:val="Header"/>
    </w:pPr>
  </w:p>
  <w:p w:rsidR="00E936F6" w:rsidRPr="00E936F6" w:rsidRDefault="00E936F6" w:rsidP="00E936F6">
    <w:pPr>
      <w:pStyle w:val="Header"/>
      <w:jc w:val="center"/>
      <w:rPr>
        <w:rFonts w:ascii="Garamond" w:hAnsi="Garamond"/>
        <w:b/>
        <w:sz w:val="28"/>
      </w:rPr>
    </w:pPr>
    <w:r>
      <w:rPr>
        <w:rFonts w:ascii="Garamond" w:hAnsi="Garamond"/>
        <w:b/>
        <w:sz w:val="28"/>
      </w:rPr>
      <w:t>Napoleon Art Gallery Reflection</w:t>
    </w:r>
  </w:p>
  <w:p w:rsidR="00E936F6" w:rsidRDefault="00E9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678"/>
    <w:multiLevelType w:val="hybridMultilevel"/>
    <w:tmpl w:val="2944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3508A"/>
    <w:multiLevelType w:val="hybridMultilevel"/>
    <w:tmpl w:val="EFECCF2C"/>
    <w:lvl w:ilvl="0" w:tplc="8B7A2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6"/>
    <w:rsid w:val="003B6FD4"/>
    <w:rsid w:val="005268BC"/>
    <w:rsid w:val="00926462"/>
    <w:rsid w:val="0097261A"/>
    <w:rsid w:val="00A174B0"/>
    <w:rsid w:val="00B93346"/>
    <w:rsid w:val="00E9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F6"/>
  </w:style>
  <w:style w:type="paragraph" w:styleId="Footer">
    <w:name w:val="footer"/>
    <w:basedOn w:val="Normal"/>
    <w:link w:val="FooterChar"/>
    <w:uiPriority w:val="99"/>
    <w:unhideWhenUsed/>
    <w:rsid w:val="00E9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F6"/>
  </w:style>
  <w:style w:type="paragraph" w:styleId="BalloonText">
    <w:name w:val="Balloon Text"/>
    <w:basedOn w:val="Normal"/>
    <w:link w:val="BalloonTextChar"/>
    <w:uiPriority w:val="99"/>
    <w:semiHidden/>
    <w:unhideWhenUsed/>
    <w:rsid w:val="00E9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F6"/>
    <w:rPr>
      <w:rFonts w:ascii="Tahoma" w:hAnsi="Tahoma" w:cs="Tahoma"/>
      <w:sz w:val="16"/>
      <w:szCs w:val="16"/>
    </w:rPr>
  </w:style>
  <w:style w:type="table" w:styleId="TableGrid">
    <w:name w:val="Table Grid"/>
    <w:basedOn w:val="TableNormal"/>
    <w:uiPriority w:val="59"/>
    <w:rsid w:val="00E93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F6"/>
  </w:style>
  <w:style w:type="paragraph" w:styleId="Footer">
    <w:name w:val="footer"/>
    <w:basedOn w:val="Normal"/>
    <w:link w:val="FooterChar"/>
    <w:uiPriority w:val="99"/>
    <w:unhideWhenUsed/>
    <w:rsid w:val="00E9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F6"/>
  </w:style>
  <w:style w:type="paragraph" w:styleId="BalloonText">
    <w:name w:val="Balloon Text"/>
    <w:basedOn w:val="Normal"/>
    <w:link w:val="BalloonTextChar"/>
    <w:uiPriority w:val="99"/>
    <w:semiHidden/>
    <w:unhideWhenUsed/>
    <w:rsid w:val="00E9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F6"/>
    <w:rPr>
      <w:rFonts w:ascii="Tahoma" w:hAnsi="Tahoma" w:cs="Tahoma"/>
      <w:sz w:val="16"/>
      <w:szCs w:val="16"/>
    </w:rPr>
  </w:style>
  <w:style w:type="table" w:styleId="TableGrid">
    <w:name w:val="Table Grid"/>
    <w:basedOn w:val="TableNormal"/>
    <w:uiPriority w:val="59"/>
    <w:rsid w:val="00E93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2015-11-16T17:52:00Z</dcterms:created>
  <dcterms:modified xsi:type="dcterms:W3CDTF">2015-11-17T19:17:00Z</dcterms:modified>
</cp:coreProperties>
</file>